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742A" w:rsidRDefault="00A30B90">
      <w:pPr>
        <w:spacing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(Insert School Letterhead here)</w:t>
      </w:r>
    </w:p>
    <w:p w14:paraId="00000002" w14:textId="77777777" w:rsidR="0037742A" w:rsidRDefault="00A30B90">
      <w:pPr>
        <w:spacing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(Insert date here)</w:t>
      </w:r>
    </w:p>
    <w:p w14:paraId="00000003" w14:textId="77777777" w:rsidR="0037742A" w:rsidRDefault="00A30B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4" w14:textId="77777777" w:rsidR="0037742A" w:rsidRDefault="00A30B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r>
        <w:rPr>
          <w:color w:val="FF0000"/>
          <w:sz w:val="20"/>
          <w:szCs w:val="20"/>
        </w:rPr>
        <w:t>Parent/Guardian</w:t>
      </w:r>
      <w:r>
        <w:rPr>
          <w:sz w:val="20"/>
          <w:szCs w:val="20"/>
        </w:rPr>
        <w:t>:</w:t>
      </w:r>
    </w:p>
    <w:p w14:paraId="00000005" w14:textId="77777777" w:rsidR="0037742A" w:rsidRDefault="0037742A">
      <w:pPr>
        <w:spacing w:line="240" w:lineRule="auto"/>
        <w:rPr>
          <w:sz w:val="20"/>
          <w:szCs w:val="20"/>
        </w:rPr>
      </w:pPr>
    </w:p>
    <w:p w14:paraId="00000006" w14:textId="77777777" w:rsidR="0037742A" w:rsidRDefault="00A30B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Montana students took the Smarter Balanced Assessment in mathematics and reading/language arts in the Spring of 2023. This assessment is Montana’s measure of student proficiency and progress on the state content standards in grades 3-8. These standards est</w:t>
      </w:r>
      <w:r>
        <w:rPr>
          <w:sz w:val="20"/>
          <w:szCs w:val="20"/>
        </w:rPr>
        <w:t>ablish goals for what all students should know and be able to do in each grade. This assessment goes beyond multiple-choice questions to include extended response and technology-enhanced items, as well as math performance tasks, and reading/language arts b</w:t>
      </w:r>
      <w:r>
        <w:rPr>
          <w:sz w:val="20"/>
          <w:szCs w:val="20"/>
        </w:rPr>
        <w:t>rief writes for students to demonstrate critical thinking and problem-solving skills.</w:t>
      </w:r>
    </w:p>
    <w:p w14:paraId="00000007" w14:textId="77777777" w:rsidR="0037742A" w:rsidRDefault="0037742A">
      <w:pPr>
        <w:spacing w:line="240" w:lineRule="auto"/>
        <w:rPr>
          <w:sz w:val="20"/>
          <w:szCs w:val="20"/>
        </w:rPr>
      </w:pPr>
    </w:p>
    <w:p w14:paraId="00000008" w14:textId="77777777" w:rsidR="0037742A" w:rsidRDefault="00A30B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This annual assessment provides critical information about student learning, but no single assessment should ever be the sole factor in making an educational decision. I</w:t>
      </w:r>
      <w:r>
        <w:rPr>
          <w:sz w:val="20"/>
          <w:szCs w:val="20"/>
        </w:rPr>
        <w:t>t is important to remember that assessments provide only one measure of student learning, but when combined with grades, classroom activities, unit quizzes and tests, and district-level assessments, the end-of-year assessments can help provide a complete p</w:t>
      </w:r>
      <w:r>
        <w:rPr>
          <w:sz w:val="20"/>
          <w:szCs w:val="20"/>
        </w:rPr>
        <w:t>icture of your child’s abilities over the course of the school year and path toward academic success on these content standards.</w:t>
      </w:r>
    </w:p>
    <w:p w14:paraId="00000009" w14:textId="77777777" w:rsidR="0037742A" w:rsidRDefault="0037742A">
      <w:pPr>
        <w:spacing w:line="240" w:lineRule="auto"/>
        <w:rPr>
          <w:sz w:val="20"/>
          <w:szCs w:val="20"/>
        </w:rPr>
      </w:pPr>
    </w:p>
    <w:p w14:paraId="0000000A" w14:textId="77777777" w:rsidR="0037742A" w:rsidRDefault="00A30B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 help interpreting your child’s report, please visit the</w:t>
      </w:r>
      <w:hyperlink r:id="rId5">
        <w:r>
          <w:rPr>
            <w:sz w:val="20"/>
            <w:szCs w:val="20"/>
          </w:rPr>
          <w:t xml:space="preserve"> </w:t>
        </w:r>
      </w:hyperlink>
      <w:hyperlink r:id="rId6">
        <w:r>
          <w:rPr>
            <w:color w:val="0000FF"/>
            <w:sz w:val="20"/>
            <w:szCs w:val="20"/>
            <w:u w:val="single"/>
          </w:rPr>
          <w:t>Starting Smarter</w:t>
        </w:r>
      </w:hyperlink>
      <w:r>
        <w:rPr>
          <w:sz w:val="20"/>
          <w:szCs w:val="20"/>
        </w:rPr>
        <w:t xml:space="preserve"> website designed for parents/families to understand the assessment results. Here are some highlights for this student report:</w:t>
      </w:r>
    </w:p>
    <w:p w14:paraId="0000000B" w14:textId="77777777" w:rsidR="0037742A" w:rsidRDefault="0037742A">
      <w:pPr>
        <w:spacing w:line="240" w:lineRule="auto"/>
        <w:rPr>
          <w:sz w:val="20"/>
          <w:szCs w:val="20"/>
        </w:rPr>
      </w:pPr>
    </w:p>
    <w:p w14:paraId="0000000C" w14:textId="77777777" w:rsidR="0037742A" w:rsidRDefault="00A30B90">
      <w:pPr>
        <w:numPr>
          <w:ilvl w:val="0"/>
          <w:numId w:val="1"/>
        </w:numPr>
        <w:spacing w:line="240" w:lineRule="auto"/>
      </w:pPr>
      <w:r>
        <w:rPr>
          <w:sz w:val="20"/>
          <w:szCs w:val="20"/>
        </w:rPr>
        <w:t xml:space="preserve">Students </w:t>
      </w:r>
      <w:r>
        <w:rPr>
          <w:sz w:val="20"/>
          <w:szCs w:val="20"/>
        </w:rPr>
        <w:t>receive a separate scale score for math and reading/language arts.</w:t>
      </w:r>
    </w:p>
    <w:p w14:paraId="0000000D" w14:textId="77777777" w:rsidR="0037742A" w:rsidRDefault="00A30B90">
      <w:pPr>
        <w:numPr>
          <w:ilvl w:val="0"/>
          <w:numId w:val="1"/>
        </w:numPr>
        <w:spacing w:line="240" w:lineRule="auto"/>
      </w:pPr>
      <w:r>
        <w:rPr>
          <w:sz w:val="20"/>
          <w:szCs w:val="20"/>
        </w:rPr>
        <w:t>Scale scores are reported with different ranges for math and reading/language arts.</w:t>
      </w:r>
    </w:p>
    <w:p w14:paraId="0000000E" w14:textId="77777777" w:rsidR="0037742A" w:rsidRDefault="00A30B90">
      <w:pPr>
        <w:numPr>
          <w:ilvl w:val="0"/>
          <w:numId w:val="1"/>
        </w:numPr>
        <w:spacing w:line="240" w:lineRule="auto"/>
      </w:pPr>
      <w:r>
        <w:rPr>
          <w:sz w:val="20"/>
          <w:szCs w:val="20"/>
        </w:rPr>
        <w:t>Claim descriptions indicate performance on groups of questions that measure similar skills.</w:t>
      </w:r>
    </w:p>
    <w:p w14:paraId="0000000F" w14:textId="77777777" w:rsidR="0037742A" w:rsidRDefault="0037742A">
      <w:pPr>
        <w:spacing w:line="240" w:lineRule="auto"/>
        <w:rPr>
          <w:sz w:val="20"/>
          <w:szCs w:val="20"/>
        </w:rPr>
      </w:pPr>
    </w:p>
    <w:p w14:paraId="00000010" w14:textId="77777777" w:rsidR="0037742A" w:rsidRDefault="00A30B90">
      <w:pPr>
        <w:spacing w:line="240" w:lineRule="auto"/>
        <w:rPr>
          <w:sz w:val="20"/>
          <w:szCs w:val="20"/>
        </w:rPr>
      </w:pPr>
      <w:r>
        <w:pict w14:anchorId="52689549">
          <v:rect id="_x0000_i1025" style="width:0;height:1.5pt" o:hralign="center" o:hrstd="t" o:hr="t" fillcolor="#a0a0a0" stroked="f"/>
        </w:pict>
      </w:r>
    </w:p>
    <w:p w14:paraId="00000011" w14:textId="4177BF02" w:rsidR="0037742A" w:rsidRDefault="00A30B9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Student pe</w:t>
      </w:r>
      <w:r>
        <w:rPr>
          <w:b/>
          <w:sz w:val="20"/>
          <w:szCs w:val="20"/>
        </w:rPr>
        <w:t>rformance is reported by achievement levels,</w:t>
      </w:r>
      <w:r>
        <w:rPr>
          <w:b/>
          <w:sz w:val="20"/>
          <w:szCs w:val="20"/>
        </w:rPr>
        <w:t xml:space="preserve"> Level 1 through 4.</w:t>
      </w:r>
    </w:p>
    <w:p w14:paraId="00000012" w14:textId="77777777" w:rsidR="0037742A" w:rsidRDefault="00A30B90">
      <w:pPr>
        <w:spacing w:line="240" w:lineRule="auto"/>
        <w:rPr>
          <w:b/>
          <w:sz w:val="20"/>
          <w:szCs w:val="20"/>
        </w:rPr>
      </w:pPr>
      <w:r>
        <w:pict w14:anchorId="534396E1">
          <v:rect id="_x0000_i1026" style="width:0;height:1.5pt" o:hralign="center" o:hrstd="t" o:hr="t" fillcolor="#a0a0a0" stroked="f"/>
        </w:pict>
      </w:r>
    </w:p>
    <w:p w14:paraId="00000013" w14:textId="77777777" w:rsidR="0037742A" w:rsidRDefault="00A30B90">
      <w:pPr>
        <w:spacing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Level 4</w:t>
      </w:r>
      <w:r>
        <w:rPr>
          <w:sz w:val="20"/>
          <w:szCs w:val="20"/>
        </w:rPr>
        <w:t xml:space="preserve"> - Student demonstrates advanced progress needed for success in future coursework.</w:t>
      </w:r>
    </w:p>
    <w:p w14:paraId="00000014" w14:textId="77777777" w:rsidR="0037742A" w:rsidRDefault="00A30B90">
      <w:pPr>
        <w:spacing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Level 3 </w:t>
      </w:r>
      <w:r>
        <w:rPr>
          <w:sz w:val="20"/>
          <w:szCs w:val="20"/>
        </w:rPr>
        <w:t>- Student demonstrates progress needed for success in future coursework.</w:t>
      </w:r>
    </w:p>
    <w:p w14:paraId="00000015" w14:textId="77777777" w:rsidR="0037742A" w:rsidRDefault="00A30B9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>
        <w:rPr>
          <w:sz w:val="20"/>
          <w:szCs w:val="20"/>
        </w:rPr>
        <w:t>Stud</w:t>
      </w:r>
      <w:r>
        <w:rPr>
          <w:sz w:val="20"/>
          <w:szCs w:val="20"/>
        </w:rPr>
        <w:t>ents who score a Level 3 or 4 are considered as performing at or above proficient on these standards.</w:t>
      </w:r>
    </w:p>
    <w:p w14:paraId="00000016" w14:textId="77777777" w:rsidR="0037742A" w:rsidRDefault="0037742A">
      <w:pPr>
        <w:spacing w:line="240" w:lineRule="auto"/>
        <w:ind w:left="1440"/>
        <w:rPr>
          <w:sz w:val="20"/>
          <w:szCs w:val="20"/>
        </w:rPr>
      </w:pPr>
    </w:p>
    <w:p w14:paraId="00000017" w14:textId="77777777" w:rsidR="0037742A" w:rsidRDefault="00A30B90">
      <w:pPr>
        <w:spacing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Level 2</w:t>
      </w:r>
      <w:r>
        <w:rPr>
          <w:sz w:val="20"/>
          <w:szCs w:val="20"/>
        </w:rPr>
        <w:t xml:space="preserve"> - Student requires further development to meet proficiency.</w:t>
      </w:r>
    </w:p>
    <w:p w14:paraId="00000018" w14:textId="77777777" w:rsidR="0037742A" w:rsidRDefault="00A30B90">
      <w:pPr>
        <w:spacing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Level</w:t>
      </w:r>
      <w:r>
        <w:rPr>
          <w:sz w:val="20"/>
          <w:szCs w:val="20"/>
        </w:rPr>
        <w:t xml:space="preserve"> 1 - Student needs substantial improvement to meet proficiency.</w:t>
      </w:r>
    </w:p>
    <w:p w14:paraId="00000019" w14:textId="77777777" w:rsidR="0037742A" w:rsidRDefault="00A30B9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>
        <w:rPr>
          <w:sz w:val="20"/>
          <w:szCs w:val="20"/>
        </w:rPr>
        <w:t>Students who score a Level 1 or 2 are not considered as proficient on these standards.</w:t>
      </w:r>
    </w:p>
    <w:p w14:paraId="0000001A" w14:textId="77777777" w:rsidR="0037742A" w:rsidRDefault="00A30B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B" w14:textId="77777777" w:rsidR="0037742A" w:rsidRDefault="00A30B90">
      <w:pPr>
        <w:spacing w:line="240" w:lineRule="auto"/>
        <w:rPr>
          <w:color w:val="486CD0"/>
          <w:sz w:val="20"/>
          <w:szCs w:val="20"/>
          <w:u w:val="single"/>
        </w:rPr>
      </w:pPr>
      <w:r>
        <w:rPr>
          <w:sz w:val="20"/>
          <w:szCs w:val="20"/>
        </w:rPr>
        <w:t>To see how our school is performing over time and compared to other schools in Montana, visit the state’s longitudinal data warehouse (GEMS) at</w:t>
      </w:r>
      <w:hyperlink r:id="rId7">
        <w:r>
          <w:rPr>
            <w:sz w:val="20"/>
            <w:szCs w:val="20"/>
          </w:rPr>
          <w:t xml:space="preserve"> </w:t>
        </w:r>
      </w:hyperlink>
      <w:hyperlink r:id="rId8">
        <w:r>
          <w:rPr>
            <w:color w:val="0000FF"/>
            <w:sz w:val="20"/>
            <w:szCs w:val="20"/>
            <w:u w:val="single"/>
          </w:rPr>
          <w:t>gems.opi.mt.gov</w:t>
        </w:r>
      </w:hyperlink>
      <w:hyperlink r:id="rId9">
        <w:r>
          <w:rPr>
            <w:color w:val="486CD0"/>
            <w:sz w:val="20"/>
            <w:szCs w:val="20"/>
            <w:u w:val="single"/>
          </w:rPr>
          <w:t>.</w:t>
        </w:r>
      </w:hyperlink>
    </w:p>
    <w:p w14:paraId="0000001C" w14:textId="77777777" w:rsidR="0037742A" w:rsidRDefault="0037742A">
      <w:pPr>
        <w:spacing w:line="240" w:lineRule="auto"/>
        <w:rPr>
          <w:color w:val="486CD0"/>
          <w:sz w:val="20"/>
          <w:szCs w:val="20"/>
          <w:u w:val="single"/>
        </w:rPr>
      </w:pPr>
    </w:p>
    <w:p w14:paraId="0000001D" w14:textId="77777777" w:rsidR="0037742A" w:rsidRDefault="00A30B90">
      <w:pPr>
        <w:spacing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(Insert School Signature here)</w:t>
      </w:r>
    </w:p>
    <w:p w14:paraId="0000001E" w14:textId="77777777" w:rsidR="0037742A" w:rsidRDefault="00A30B90">
      <w:pPr>
        <w:spacing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(Insert School contact information here)</w:t>
      </w:r>
    </w:p>
    <w:p w14:paraId="0000001F" w14:textId="77777777" w:rsidR="0037742A" w:rsidRDefault="0037742A">
      <w:pPr>
        <w:spacing w:line="240" w:lineRule="auto"/>
        <w:rPr>
          <w:rFonts w:ascii="Calibri" w:eastAsia="Calibri" w:hAnsi="Calibri" w:cs="Calibri"/>
          <w:color w:val="FF0000"/>
        </w:rPr>
      </w:pPr>
    </w:p>
    <w:p w14:paraId="00000020" w14:textId="77777777" w:rsidR="0037742A" w:rsidRDefault="0037742A">
      <w:pPr>
        <w:spacing w:line="240" w:lineRule="auto"/>
      </w:pPr>
    </w:p>
    <w:sectPr w:rsidR="0037742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A0ACE"/>
    <w:multiLevelType w:val="multilevel"/>
    <w:tmpl w:val="7E529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7677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2A"/>
    <w:rsid w:val="0037742A"/>
    <w:rsid w:val="00A3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598B8A"/>
  <w15:docId w15:val="{5385AC97-4EEB-4BD1-926E-DE86B3F0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ms.opi.mt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ms.opi.mt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.startingsmarter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t.startingsmarter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ms.opi.mt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Fortner, Marcy</dc:creator>
  <cp:lastModifiedBy>Fortner, Marcy</cp:lastModifiedBy>
  <cp:revision>2</cp:revision>
  <dcterms:created xsi:type="dcterms:W3CDTF">2023-07-26T16:39:00Z</dcterms:created>
  <dcterms:modified xsi:type="dcterms:W3CDTF">2023-07-26T16:39:00Z</dcterms:modified>
</cp:coreProperties>
</file>